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hint="eastAsia" w:ascii="黑体" w:hAnsi="黑体" w:eastAsia="黑体"/>
          <w:spacing w:val="0"/>
          <w:szCs w:val="30"/>
        </w:rPr>
      </w:pPr>
      <w:r>
        <w:rPr>
          <w:rFonts w:hint="eastAsia" w:ascii="黑体" w:hAnsi="黑体" w:eastAsia="黑体"/>
          <w:spacing w:val="0"/>
          <w:szCs w:val="30"/>
        </w:rPr>
        <w:t>附件1</w:t>
      </w:r>
    </w:p>
    <w:p>
      <w:pPr>
        <w:widowControl/>
        <w:spacing w:line="240" w:lineRule="auto"/>
        <w:ind w:firstLine="0" w:firstLineChars="0"/>
        <w:jc w:val="center"/>
        <w:rPr>
          <w:rFonts w:hint="eastAsia" w:ascii="方正小标宋_GBK" w:hAnsi="仿宋" w:eastAsia="方正小标宋_GBK"/>
          <w:bCs/>
          <w:spacing w:val="0"/>
          <w:sz w:val="36"/>
          <w:szCs w:val="36"/>
        </w:rPr>
      </w:pPr>
      <w:r>
        <w:rPr>
          <w:rFonts w:hint="eastAsia" w:ascii="方正小标宋_GBK" w:hAnsi="仿宋" w:eastAsia="方正小标宋_GBK"/>
          <w:bCs/>
          <w:spacing w:val="0"/>
          <w:sz w:val="36"/>
          <w:szCs w:val="36"/>
          <w:lang w:val="en-US" w:eastAsia="zh-CN"/>
        </w:rPr>
        <w:t>第二届</w:t>
      </w:r>
      <w:r>
        <w:rPr>
          <w:rFonts w:hint="eastAsia" w:ascii="方正小标宋_GBK" w:hAnsi="仿宋" w:eastAsia="方正小标宋_GBK"/>
          <w:bCs/>
          <w:spacing w:val="0"/>
          <w:sz w:val="36"/>
          <w:szCs w:val="36"/>
        </w:rPr>
        <w:t>全国采购大赛竞赛细则</w:t>
      </w:r>
    </w:p>
    <w:p>
      <w:pPr>
        <w:widowControl/>
        <w:spacing w:line="240" w:lineRule="auto"/>
        <w:ind w:firstLine="0" w:firstLineChars="0"/>
        <w:jc w:val="center"/>
        <w:rPr>
          <w:rFonts w:hint="eastAsia" w:ascii="方正小标宋_GBK" w:hAnsi="仿宋" w:eastAsia="方正小标宋_GBK"/>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0"/>
        <w:rPr>
          <w:rFonts w:hint="eastAsia" w:ascii="黑体" w:hAnsi="黑体" w:eastAsia="黑体"/>
          <w:color w:val="auto"/>
          <w:spacing w:val="0"/>
          <w:szCs w:val="30"/>
        </w:rPr>
      </w:pPr>
      <w:r>
        <w:rPr>
          <w:rFonts w:hint="eastAsia" w:ascii="黑体" w:hAnsi="黑体" w:eastAsia="黑体"/>
          <w:color w:val="auto"/>
          <w:spacing w:val="0"/>
          <w:szCs w:val="30"/>
        </w:rPr>
        <w:t>一、</w:t>
      </w:r>
      <w:bookmarkStart w:id="0" w:name="_Hlk174375456"/>
      <w:r>
        <w:rPr>
          <w:rFonts w:hint="eastAsia" w:ascii="黑体" w:hAnsi="黑体" w:eastAsia="黑体"/>
          <w:color w:val="auto"/>
          <w:spacing w:val="0"/>
          <w:szCs w:val="30"/>
        </w:rPr>
        <w:t>采购师理论考核说明</w:t>
      </w:r>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_GB2312" w:hAnsi="楷体_GB2312" w:eastAsia="楷体_GB2312" w:cs="楷体_GB2312"/>
          <w:b/>
          <w:bCs/>
          <w:color w:val="auto"/>
          <w:spacing w:val="0"/>
          <w:szCs w:val="30"/>
          <w:highlight w:val="none"/>
        </w:rPr>
      </w:pPr>
      <w:r>
        <w:rPr>
          <w:rFonts w:hint="eastAsia" w:ascii="楷体_GB2312" w:hAnsi="楷体_GB2312" w:eastAsia="楷体_GB2312" w:cs="楷体_GB2312"/>
          <w:b/>
          <w:bCs/>
          <w:color w:val="auto"/>
          <w:spacing w:val="0"/>
          <w:szCs w:val="30"/>
          <w:highlight w:val="none"/>
        </w:rPr>
        <w:t>（一）采购师理论考核内容</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color w:val="auto"/>
          <w:spacing w:val="0"/>
          <w:szCs w:val="30"/>
          <w:highlight w:val="none"/>
        </w:rPr>
      </w:pPr>
      <w:r>
        <w:rPr>
          <w:rFonts w:hint="eastAsia" w:ascii="仿宋" w:hAnsi="仿宋"/>
          <w:color w:val="auto"/>
          <w:spacing w:val="0"/>
          <w:szCs w:val="30"/>
          <w:highlight w:val="none"/>
        </w:rPr>
        <w:t>采购师理论考核</w:t>
      </w:r>
      <w:r>
        <w:rPr>
          <w:rFonts w:ascii="仿宋" w:hAnsi="仿宋"/>
          <w:color w:val="auto"/>
          <w:spacing w:val="0"/>
          <w:szCs w:val="30"/>
          <w:highlight w:val="none"/>
        </w:rPr>
        <w:t>主要依据</w:t>
      </w:r>
      <w:r>
        <w:rPr>
          <w:rFonts w:hint="eastAsia" w:ascii="仿宋" w:hAnsi="仿宋"/>
          <w:color w:val="auto"/>
          <w:spacing w:val="0"/>
          <w:szCs w:val="30"/>
          <w:highlight w:val="none"/>
        </w:rPr>
        <w:t>中国物流与采购联合会</w:t>
      </w:r>
      <w:r>
        <w:rPr>
          <w:rFonts w:ascii="仿宋" w:hAnsi="仿宋"/>
          <w:color w:val="auto"/>
          <w:spacing w:val="0"/>
          <w:szCs w:val="30"/>
          <w:highlight w:val="none"/>
        </w:rPr>
        <w:t>“采购师职业能力等级认证”</w:t>
      </w:r>
      <w:r>
        <w:rPr>
          <w:rFonts w:hint="eastAsia" w:ascii="仿宋" w:hAnsi="仿宋"/>
          <w:color w:val="auto"/>
          <w:spacing w:val="0"/>
          <w:szCs w:val="30"/>
          <w:highlight w:val="none"/>
        </w:rPr>
        <w:t>的中级内容命题，设置单选、多选、判断等题型，满分100分，重点考察选手对采购</w:t>
      </w:r>
      <w:r>
        <w:rPr>
          <w:rFonts w:ascii="仿宋" w:hAnsi="仿宋"/>
          <w:color w:val="auto"/>
          <w:spacing w:val="0"/>
          <w:szCs w:val="30"/>
          <w:highlight w:val="none"/>
        </w:rPr>
        <w:t>全景化认知理解</w:t>
      </w:r>
      <w:r>
        <w:rPr>
          <w:rFonts w:hint="eastAsia" w:ascii="仿宋" w:hAnsi="仿宋"/>
          <w:color w:val="auto"/>
          <w:spacing w:val="0"/>
          <w:szCs w:val="30"/>
          <w:highlight w:val="none"/>
        </w:rPr>
        <w:t>情况</w:t>
      </w:r>
      <w:r>
        <w:rPr>
          <w:rFonts w:ascii="仿宋" w:hAnsi="仿宋"/>
          <w:color w:val="auto"/>
          <w:spacing w:val="0"/>
          <w:szCs w:val="30"/>
          <w:highlight w:val="none"/>
        </w:rPr>
        <w:t>。</w:t>
      </w:r>
      <w:r>
        <w:rPr>
          <w:rFonts w:hint="eastAsia" w:ascii="仿宋" w:hAnsi="仿宋"/>
          <w:color w:val="auto"/>
          <w:spacing w:val="0"/>
          <w:szCs w:val="30"/>
          <w:highlight w:val="none"/>
        </w:rPr>
        <w:t>报名成功的参赛选手可在规定时间内，登录大赛官网进行采购师基础理论模拟练习，具体登录方式及账号</w:t>
      </w:r>
      <w:r>
        <w:rPr>
          <w:rFonts w:hint="eastAsia" w:ascii="仿宋" w:hAnsi="仿宋"/>
          <w:color w:val="auto"/>
          <w:spacing w:val="0"/>
          <w:szCs w:val="30"/>
          <w:highlight w:val="none"/>
          <w:lang w:val="en-US" w:eastAsia="zh-CN"/>
        </w:rPr>
        <w:t>待</w:t>
      </w:r>
      <w:r>
        <w:rPr>
          <w:rFonts w:hint="eastAsia" w:ascii="仿宋" w:hAnsi="仿宋"/>
          <w:color w:val="auto"/>
          <w:spacing w:val="0"/>
          <w:szCs w:val="30"/>
          <w:highlight w:val="none"/>
        </w:rPr>
        <w:t>报名</w:t>
      </w:r>
      <w:r>
        <w:rPr>
          <w:rFonts w:hint="eastAsia" w:ascii="仿宋" w:hAnsi="仿宋"/>
          <w:color w:val="auto"/>
          <w:spacing w:val="0"/>
          <w:szCs w:val="30"/>
          <w:highlight w:val="none"/>
          <w:lang w:val="en-US" w:eastAsia="zh-CN"/>
        </w:rPr>
        <w:t>结束</w:t>
      </w:r>
      <w:r>
        <w:rPr>
          <w:rFonts w:hint="eastAsia" w:ascii="仿宋" w:hAnsi="仿宋"/>
          <w:color w:val="auto"/>
          <w:spacing w:val="0"/>
          <w:szCs w:val="30"/>
          <w:highlight w:val="none"/>
        </w:rPr>
        <w:t>后统一发放。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_GB2312" w:hAnsi="楷体_GB2312" w:eastAsia="楷体_GB2312" w:cs="楷体_GB2312"/>
          <w:b/>
          <w:bCs/>
          <w:color w:val="auto"/>
          <w:spacing w:val="0"/>
          <w:szCs w:val="30"/>
          <w:highlight w:val="none"/>
        </w:rPr>
      </w:pPr>
      <w:r>
        <w:rPr>
          <w:rFonts w:hint="eastAsia" w:ascii="楷体_GB2312" w:hAnsi="楷体_GB2312" w:eastAsia="楷体_GB2312" w:cs="楷体_GB2312"/>
          <w:b/>
          <w:bCs/>
          <w:color w:val="auto"/>
          <w:spacing w:val="0"/>
          <w:szCs w:val="30"/>
          <w:highlight w:val="none"/>
        </w:rPr>
        <w:t>（二）参考教材</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 w:hAnsi="仿宋"/>
          <w:color w:val="auto"/>
          <w:spacing w:val="0"/>
          <w:szCs w:val="30"/>
          <w:highlight w:val="none"/>
        </w:rPr>
      </w:pPr>
      <w:r>
        <w:rPr>
          <w:rFonts w:hint="eastAsia" w:ascii="仿宋" w:hAnsi="仿宋"/>
          <w:color w:val="auto"/>
          <w:spacing w:val="0"/>
          <w:szCs w:val="30"/>
          <w:highlight w:val="none"/>
        </w:rPr>
        <w:t>中物联采购师职业能力等级认证</w:t>
      </w:r>
      <w:r>
        <w:rPr>
          <w:rFonts w:hint="eastAsia" w:ascii="仿宋" w:hAnsi="仿宋"/>
          <w:color w:val="auto"/>
          <w:spacing w:val="0"/>
          <w:szCs w:val="30"/>
          <w:highlight w:val="none"/>
          <w:lang w:eastAsia="zh-CN"/>
        </w:rPr>
        <w:t>（</w:t>
      </w:r>
      <w:r>
        <w:rPr>
          <w:rFonts w:hint="eastAsia" w:ascii="仿宋" w:hAnsi="仿宋"/>
          <w:color w:val="auto"/>
          <w:spacing w:val="0"/>
          <w:szCs w:val="30"/>
          <w:highlight w:val="none"/>
        </w:rPr>
        <w:t>中级</w:t>
      </w:r>
      <w:r>
        <w:rPr>
          <w:rFonts w:hint="eastAsia" w:ascii="仿宋" w:hAnsi="仿宋"/>
          <w:color w:val="auto"/>
          <w:spacing w:val="0"/>
          <w:szCs w:val="30"/>
          <w:highlight w:val="none"/>
          <w:lang w:eastAsia="zh-CN"/>
        </w:rPr>
        <w:t>）</w:t>
      </w:r>
      <w:r>
        <w:rPr>
          <w:rFonts w:hint="eastAsia" w:ascii="仿宋" w:hAnsi="仿宋"/>
          <w:color w:val="auto"/>
          <w:spacing w:val="0"/>
          <w:szCs w:val="30"/>
          <w:highlight w:val="none"/>
        </w:rPr>
        <w:t>教材：《采购思维架构》。参赛选手可根据自身情况，自愿购买教材，购买教材需登陆中物联职业能力等级认证综合服务平台“</w:t>
      </w:r>
      <w:r>
        <w:rPr>
          <w:rFonts w:ascii="仿宋" w:hAnsi="仿宋"/>
          <w:color w:val="auto"/>
          <w:spacing w:val="0"/>
          <w:szCs w:val="30"/>
          <w:highlight w:val="none"/>
        </w:rPr>
        <w:t>bm.clpp.org.cn</w:t>
      </w:r>
      <w:r>
        <w:rPr>
          <w:rFonts w:hint="eastAsia" w:ascii="仿宋" w:hAnsi="仿宋"/>
          <w:color w:val="auto"/>
          <w:spacing w:val="0"/>
          <w:szCs w:val="30"/>
          <w:highlight w:val="none"/>
        </w:rPr>
        <w:t>”，注册并登录后，在后台点击“教材征订”，购买相应级别教材。</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0"/>
        <w:rPr>
          <w:rFonts w:hint="eastAsia" w:ascii="黑体" w:hAnsi="黑体" w:eastAsia="黑体"/>
          <w:color w:val="auto"/>
          <w:szCs w:val="30"/>
        </w:rPr>
      </w:pPr>
      <w:r>
        <w:rPr>
          <w:rFonts w:hint="eastAsia" w:ascii="黑体" w:hAnsi="黑体" w:eastAsia="黑体"/>
          <w:color w:val="auto"/>
          <w:szCs w:val="30"/>
        </w:rPr>
        <w:t>二、采购实战模拟说明</w:t>
      </w:r>
    </w:p>
    <w:p>
      <w:pPr>
        <w:spacing w:line="540" w:lineRule="exact"/>
        <w:outlineLvl w:val="1"/>
        <w:rPr>
          <w:rFonts w:hint="eastAsia" w:ascii="楷体_GB2312" w:hAnsi="楷体_GB2312" w:eastAsia="楷体_GB2312" w:cs="楷体_GB2312"/>
          <w:szCs w:val="30"/>
        </w:rPr>
      </w:pPr>
      <w:r>
        <w:rPr>
          <w:rFonts w:hint="eastAsia" w:ascii="楷体_GB2312" w:hAnsi="楷体_GB2312" w:eastAsia="楷体_GB2312" w:cs="楷体_GB2312"/>
          <w:b/>
          <w:bCs/>
          <w:szCs w:val="30"/>
        </w:rPr>
        <w:t>（一）采购实战模拟内容</w:t>
      </w:r>
    </w:p>
    <w:p>
      <w:pPr>
        <w:spacing w:line="540" w:lineRule="exact"/>
        <w:ind w:firstLine="600"/>
        <w:rPr>
          <w:rFonts w:hint="eastAsia" w:ascii="仿宋" w:hAnsi="仿宋"/>
          <w:szCs w:val="30"/>
        </w:rPr>
      </w:pPr>
      <w:r>
        <w:rPr>
          <w:rFonts w:hint="eastAsia" w:ascii="仿宋" w:hAnsi="仿宋"/>
          <w:szCs w:val="30"/>
        </w:rPr>
        <w:t>各参赛团队以企业中采购方的“采购经理”“招标专员”“采购专员”和供应方的“供应总监”“投标专员”“供应专员”角色为分工依据，通过市场供需分析、招标策略制定、发布招标信息、采购订单管理、投标策略制定、根据招标信息投标、生产计划管理、采购订单交付等重要业务环节进行模拟实践，在模拟过程中以采购方的“总采购成本”“采购合格率”“需求满足率”和供应方的“总销售利润”“交付合格率”“准时交付率”六项指标为指导依据，进行理论结合实践的采购实战模拟竞赛。</w:t>
      </w:r>
    </w:p>
    <w:p>
      <w:pPr>
        <w:spacing w:line="540" w:lineRule="exact"/>
        <w:ind w:firstLine="600"/>
        <w:rPr>
          <w:rFonts w:hint="eastAsia" w:ascii="仿宋" w:hAnsi="仿宋"/>
          <w:szCs w:val="30"/>
        </w:rPr>
      </w:pPr>
      <w:r>
        <w:rPr>
          <w:rFonts w:hint="eastAsia" w:ascii="仿宋" w:hAnsi="仿宋"/>
          <w:szCs w:val="30"/>
        </w:rPr>
        <w:t>比赛过程分为两个阶段，第一个阶段团队随机分配扮演采购方和供应方，第二个阶段扮演采购方的团队转成扮演供应方、扮演供应方的团队转成扮演采购方，所有阶段完成后，竞赛平台针对各参赛团队模拟的虚拟企业的各项指标进行评分，用以衡量企业采购管理绩效，最终成绩依据竞赛平台的评分标准进行评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_GB2312" w:hAnsi="楷体_GB2312" w:eastAsia="楷体_GB2312" w:cs="楷体_GB2312"/>
          <w:b/>
          <w:bCs/>
          <w:color w:val="auto"/>
          <w:spacing w:val="0"/>
          <w:szCs w:val="30"/>
          <w:highlight w:val="none"/>
        </w:rPr>
      </w:pPr>
      <w:r>
        <w:rPr>
          <w:rFonts w:hint="eastAsia" w:ascii="楷体_GB2312" w:hAnsi="楷体_GB2312" w:eastAsia="楷体_GB2312" w:cs="楷体_GB2312"/>
          <w:b/>
          <w:bCs/>
          <w:color w:val="auto"/>
          <w:spacing w:val="0"/>
          <w:szCs w:val="30"/>
          <w:highlight w:val="none"/>
        </w:rPr>
        <w:t>（二）采购实战模拟评分规则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417"/>
        <w:gridCol w:w="463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4" w:type="dxa"/>
            <w:vAlign w:val="center"/>
          </w:tcPr>
          <w:p>
            <w:pPr>
              <w:widowControl/>
              <w:snapToGrid w:val="0"/>
              <w:spacing w:line="240" w:lineRule="auto"/>
              <w:ind w:firstLine="0" w:firstLineChars="0"/>
              <w:jc w:val="center"/>
              <w:outlineLvl w:val="9"/>
              <w:rPr>
                <w:rFonts w:hint="eastAsia" w:ascii="仿宋" w:hAnsi="仿宋" w:cs="仿宋"/>
                <w:b/>
                <w:bCs/>
                <w:spacing w:val="1"/>
                <w:sz w:val="21"/>
                <w:szCs w:val="21"/>
              </w:rPr>
            </w:pPr>
            <w:r>
              <w:rPr>
                <w:rFonts w:hint="eastAsia" w:ascii="仿宋" w:hAnsi="仿宋" w:cs="仿宋"/>
                <w:b/>
                <w:bCs/>
                <w:spacing w:val="1"/>
                <w:sz w:val="21"/>
                <w:szCs w:val="21"/>
              </w:rPr>
              <w:t>序号</w:t>
            </w:r>
          </w:p>
        </w:tc>
        <w:tc>
          <w:tcPr>
            <w:tcW w:w="709" w:type="dxa"/>
            <w:vAlign w:val="center"/>
          </w:tcPr>
          <w:p>
            <w:pPr>
              <w:widowControl/>
              <w:snapToGrid w:val="0"/>
              <w:spacing w:line="240" w:lineRule="auto"/>
              <w:ind w:firstLine="0" w:firstLineChars="0"/>
              <w:jc w:val="center"/>
              <w:outlineLvl w:val="9"/>
              <w:rPr>
                <w:rFonts w:hint="eastAsia" w:ascii="仿宋" w:hAnsi="仿宋" w:cs="仿宋"/>
                <w:b/>
                <w:bCs/>
                <w:spacing w:val="1"/>
                <w:sz w:val="21"/>
                <w:szCs w:val="21"/>
              </w:rPr>
            </w:pPr>
            <w:r>
              <w:rPr>
                <w:rFonts w:hint="eastAsia" w:ascii="仿宋" w:hAnsi="仿宋" w:cs="仿宋"/>
                <w:b/>
                <w:bCs/>
                <w:spacing w:val="1"/>
                <w:sz w:val="21"/>
                <w:szCs w:val="21"/>
              </w:rPr>
              <w:t>角色</w:t>
            </w:r>
          </w:p>
        </w:tc>
        <w:tc>
          <w:tcPr>
            <w:tcW w:w="1417" w:type="dxa"/>
            <w:vAlign w:val="center"/>
          </w:tcPr>
          <w:p>
            <w:pPr>
              <w:widowControl/>
              <w:snapToGrid w:val="0"/>
              <w:spacing w:line="240" w:lineRule="auto"/>
              <w:ind w:firstLine="0" w:firstLineChars="0"/>
              <w:jc w:val="center"/>
              <w:outlineLvl w:val="9"/>
              <w:rPr>
                <w:rFonts w:hint="eastAsia" w:ascii="仿宋" w:hAnsi="仿宋" w:cs="仿宋"/>
                <w:b/>
                <w:bCs/>
                <w:spacing w:val="1"/>
                <w:sz w:val="21"/>
                <w:szCs w:val="21"/>
              </w:rPr>
            </w:pPr>
            <w:r>
              <w:rPr>
                <w:rFonts w:hint="eastAsia" w:ascii="仿宋" w:hAnsi="仿宋" w:cs="仿宋"/>
                <w:b/>
                <w:bCs/>
                <w:spacing w:val="1"/>
                <w:sz w:val="21"/>
                <w:szCs w:val="21"/>
              </w:rPr>
              <w:t>评分指标</w:t>
            </w:r>
          </w:p>
        </w:tc>
        <w:tc>
          <w:tcPr>
            <w:tcW w:w="4635" w:type="dxa"/>
            <w:vAlign w:val="center"/>
          </w:tcPr>
          <w:p>
            <w:pPr>
              <w:widowControl/>
              <w:snapToGrid w:val="0"/>
              <w:spacing w:line="240" w:lineRule="auto"/>
              <w:ind w:firstLine="0" w:firstLineChars="0"/>
              <w:jc w:val="center"/>
              <w:rPr>
                <w:rFonts w:hint="eastAsia" w:ascii="仿宋" w:hAnsi="仿宋" w:cs="仿宋"/>
                <w:b/>
                <w:bCs/>
                <w:spacing w:val="1"/>
                <w:sz w:val="21"/>
                <w:szCs w:val="21"/>
              </w:rPr>
            </w:pPr>
            <w:r>
              <w:rPr>
                <w:rFonts w:hint="eastAsia" w:ascii="仿宋" w:hAnsi="仿宋" w:cs="仿宋"/>
                <w:b/>
                <w:bCs/>
                <w:spacing w:val="1"/>
                <w:sz w:val="21"/>
                <w:szCs w:val="21"/>
              </w:rPr>
              <w:t>指标分数计算规则</w:t>
            </w:r>
          </w:p>
        </w:tc>
        <w:tc>
          <w:tcPr>
            <w:tcW w:w="831" w:type="dxa"/>
            <w:vAlign w:val="center"/>
          </w:tcPr>
          <w:p>
            <w:pPr>
              <w:widowControl/>
              <w:snapToGrid w:val="0"/>
              <w:spacing w:line="240" w:lineRule="auto"/>
              <w:ind w:firstLine="0" w:firstLineChars="0"/>
              <w:jc w:val="center"/>
              <w:outlineLvl w:val="9"/>
              <w:rPr>
                <w:rFonts w:hint="eastAsia" w:ascii="仿宋" w:hAnsi="仿宋" w:cs="仿宋"/>
                <w:b/>
                <w:bCs/>
                <w:spacing w:val="1"/>
                <w:sz w:val="21"/>
                <w:szCs w:val="21"/>
              </w:rPr>
            </w:pPr>
            <w:r>
              <w:rPr>
                <w:rFonts w:hint="eastAsia" w:ascii="仿宋" w:hAnsi="仿宋" w:cs="仿宋"/>
                <w:b/>
                <w:bCs/>
                <w:spacing w:val="1"/>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04" w:type="dxa"/>
            <w:vAlign w:val="center"/>
          </w:tcPr>
          <w:p>
            <w:pPr>
              <w:spacing w:line="540" w:lineRule="exact"/>
              <w:ind w:firstLine="0" w:firstLineChars="0"/>
              <w:jc w:val="center"/>
              <w:outlineLvl w:val="1"/>
              <w:rPr>
                <w:rFonts w:hint="eastAsia" w:ascii="仿宋" w:hAnsi="仿宋"/>
                <w:b/>
                <w:bCs/>
                <w:sz w:val="21"/>
                <w:szCs w:val="21"/>
              </w:rPr>
            </w:pPr>
            <w:r>
              <w:rPr>
                <w:rFonts w:hint="eastAsia" w:ascii="仿宋" w:hAnsi="仿宋" w:cs="仿宋_GB2312"/>
                <w:sz w:val="21"/>
                <w:szCs w:val="21"/>
              </w:rPr>
              <w:t>1</w:t>
            </w:r>
          </w:p>
        </w:tc>
        <w:tc>
          <w:tcPr>
            <w:tcW w:w="709" w:type="dxa"/>
            <w:vMerge w:val="restart"/>
            <w:vAlign w:val="center"/>
          </w:tcPr>
          <w:p>
            <w:pPr>
              <w:snapToGrid w:val="0"/>
              <w:spacing w:line="240" w:lineRule="auto"/>
              <w:ind w:firstLine="0" w:firstLineChars="0"/>
              <w:jc w:val="center"/>
              <w:outlineLvl w:val="1"/>
              <w:rPr>
                <w:rFonts w:hint="eastAsia" w:ascii="仿宋" w:hAnsi="仿宋" w:cs="仿宋"/>
                <w:spacing w:val="1"/>
                <w:sz w:val="21"/>
                <w:szCs w:val="21"/>
              </w:rPr>
            </w:pPr>
            <w:r>
              <w:rPr>
                <w:rFonts w:hint="eastAsia" w:ascii="仿宋" w:hAnsi="仿宋" w:cs="仿宋"/>
                <w:spacing w:val="1"/>
                <w:sz w:val="21"/>
                <w:szCs w:val="21"/>
              </w:rPr>
              <w:t>采购方</w:t>
            </w:r>
          </w:p>
        </w:tc>
        <w:tc>
          <w:tcPr>
            <w:tcW w:w="1417" w:type="dxa"/>
            <w:vAlign w:val="center"/>
          </w:tcPr>
          <w:p>
            <w:pPr>
              <w:snapToGrid w:val="0"/>
              <w:spacing w:line="240" w:lineRule="auto"/>
              <w:ind w:firstLine="0" w:firstLineChars="0"/>
              <w:jc w:val="left"/>
              <w:outlineLvl w:val="1"/>
              <w:rPr>
                <w:rFonts w:hint="eastAsia" w:ascii="仿宋" w:hAnsi="仿宋"/>
                <w:b/>
                <w:bCs/>
                <w:sz w:val="21"/>
                <w:szCs w:val="21"/>
              </w:rPr>
            </w:pPr>
            <w:r>
              <w:rPr>
                <w:rFonts w:hint="eastAsia" w:ascii="仿宋" w:hAnsi="仿宋" w:cs="仿宋"/>
                <w:spacing w:val="1"/>
                <w:sz w:val="21"/>
                <w:szCs w:val="21"/>
              </w:rPr>
              <w:t>总采购成本</w:t>
            </w:r>
          </w:p>
        </w:tc>
        <w:tc>
          <w:tcPr>
            <w:tcW w:w="4635" w:type="dxa"/>
            <w:vAlign w:val="center"/>
          </w:tcPr>
          <w:p>
            <w:pPr>
              <w:snapToGrid w:val="0"/>
              <w:spacing w:line="240" w:lineRule="auto"/>
              <w:ind w:firstLine="0" w:firstLineChars="0"/>
              <w:outlineLvl w:val="1"/>
              <w:rPr>
                <w:rFonts w:hint="eastAsia" w:ascii="仿宋" w:hAnsi="仿宋"/>
                <w:sz w:val="21"/>
                <w:szCs w:val="21"/>
              </w:rPr>
            </w:pPr>
            <w:r>
              <w:rPr>
                <w:rFonts w:hint="eastAsia" w:ascii="仿宋" w:hAnsi="仿宋"/>
                <w:sz w:val="21"/>
                <w:szCs w:val="21"/>
              </w:rPr>
              <w:t>计分规则：(1-(当前团队总采购成本/当前团队需求满足率-本阶段最低(总采购成本/需求满足率))/本阶段最低(总采购成本/需求满足率))×</w:t>
            </w:r>
            <w:r>
              <w:rPr>
                <w:rFonts w:ascii="仿宋" w:hAnsi="仿宋"/>
                <w:sz w:val="21"/>
                <w:szCs w:val="21"/>
              </w:rPr>
              <w:t>4</w:t>
            </w:r>
            <w:r>
              <w:rPr>
                <w:rFonts w:hint="eastAsia" w:ascii="仿宋" w:hAnsi="仿宋"/>
                <w:sz w:val="21"/>
                <w:szCs w:val="21"/>
              </w:rPr>
              <w:t>0，最高</w:t>
            </w:r>
            <w:r>
              <w:rPr>
                <w:rFonts w:ascii="仿宋" w:hAnsi="仿宋"/>
                <w:sz w:val="21"/>
                <w:szCs w:val="21"/>
              </w:rPr>
              <w:t>4</w:t>
            </w:r>
            <w:r>
              <w:rPr>
                <w:rFonts w:hint="eastAsia" w:ascii="仿宋" w:hAnsi="仿宋"/>
                <w:sz w:val="21"/>
                <w:szCs w:val="21"/>
              </w:rPr>
              <w:t>0分，最低0分。</w:t>
            </w:r>
          </w:p>
          <w:p>
            <w:pPr>
              <w:snapToGrid w:val="0"/>
              <w:spacing w:line="240" w:lineRule="auto"/>
              <w:ind w:firstLine="0" w:firstLineChars="0"/>
              <w:outlineLvl w:val="1"/>
              <w:rPr>
                <w:rFonts w:hint="eastAsia" w:ascii="仿宋" w:hAnsi="仿宋" w:eastAsia="仿宋"/>
                <w:sz w:val="21"/>
                <w:szCs w:val="21"/>
                <w:lang w:val="en-US" w:eastAsia="zh-CN"/>
              </w:rPr>
            </w:pPr>
            <w:r>
              <w:rPr>
                <w:rFonts w:hint="eastAsia" w:ascii="仿宋" w:hAnsi="仿宋"/>
                <w:sz w:val="21"/>
                <w:szCs w:val="21"/>
                <w:lang w:val="en-US" w:eastAsia="zh-CN"/>
              </w:rPr>
              <w:t>注：需求满足率低于60%时，得0分。</w:t>
            </w:r>
          </w:p>
        </w:tc>
        <w:tc>
          <w:tcPr>
            <w:tcW w:w="831" w:type="dxa"/>
            <w:vAlign w:val="center"/>
          </w:tcPr>
          <w:p>
            <w:pPr>
              <w:snapToGrid w:val="0"/>
              <w:spacing w:line="540" w:lineRule="exact"/>
              <w:ind w:firstLine="0" w:firstLineChars="0"/>
              <w:jc w:val="center"/>
              <w:outlineLvl w:val="1"/>
              <w:rPr>
                <w:rFonts w:hint="eastAsia" w:ascii="仿宋" w:hAnsi="仿宋"/>
                <w:b/>
                <w:bCs/>
                <w:sz w:val="21"/>
                <w:szCs w:val="21"/>
              </w:rPr>
            </w:pPr>
            <w:r>
              <w:rPr>
                <w:rFonts w:ascii="仿宋" w:hAnsi="仿宋" w:cs="仿宋"/>
                <w:spacing w:val="1"/>
                <w:sz w:val="21"/>
                <w:szCs w:val="21"/>
              </w:rPr>
              <w:t>4</w:t>
            </w:r>
            <w:r>
              <w:rPr>
                <w:rFonts w:hint="eastAsia" w:ascii="仿宋" w:hAnsi="仿宋" w:cs="仿宋"/>
                <w:spacing w:val="1"/>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vAlign w:val="center"/>
          </w:tcPr>
          <w:p>
            <w:pPr>
              <w:spacing w:line="540" w:lineRule="exact"/>
              <w:ind w:firstLine="0" w:firstLineChars="0"/>
              <w:jc w:val="center"/>
              <w:outlineLvl w:val="1"/>
              <w:rPr>
                <w:rFonts w:hint="eastAsia" w:ascii="仿宋" w:hAnsi="仿宋"/>
                <w:b/>
                <w:bCs/>
                <w:sz w:val="21"/>
                <w:szCs w:val="21"/>
              </w:rPr>
            </w:pPr>
            <w:r>
              <w:rPr>
                <w:rFonts w:hint="eastAsia" w:ascii="仿宋" w:hAnsi="仿宋" w:cs="仿宋_GB2312"/>
                <w:sz w:val="21"/>
                <w:szCs w:val="21"/>
              </w:rPr>
              <w:t>2</w:t>
            </w:r>
          </w:p>
        </w:tc>
        <w:tc>
          <w:tcPr>
            <w:tcW w:w="709" w:type="dxa"/>
            <w:vMerge w:val="continue"/>
          </w:tcPr>
          <w:p>
            <w:pPr>
              <w:snapToGrid w:val="0"/>
              <w:spacing w:line="240" w:lineRule="auto"/>
              <w:ind w:firstLine="0" w:firstLineChars="0"/>
              <w:jc w:val="left"/>
              <w:outlineLvl w:val="1"/>
              <w:rPr>
                <w:rFonts w:hint="eastAsia" w:ascii="仿宋" w:hAnsi="仿宋" w:cs="仿宋"/>
                <w:spacing w:val="1"/>
                <w:sz w:val="21"/>
                <w:szCs w:val="21"/>
              </w:rPr>
            </w:pPr>
          </w:p>
        </w:tc>
        <w:tc>
          <w:tcPr>
            <w:tcW w:w="1417" w:type="dxa"/>
            <w:vAlign w:val="center"/>
          </w:tcPr>
          <w:p>
            <w:pPr>
              <w:snapToGrid w:val="0"/>
              <w:spacing w:line="240" w:lineRule="auto"/>
              <w:ind w:firstLine="0" w:firstLineChars="0"/>
              <w:jc w:val="left"/>
              <w:outlineLvl w:val="1"/>
              <w:rPr>
                <w:rFonts w:hint="eastAsia" w:ascii="仿宋" w:hAnsi="仿宋"/>
                <w:b/>
                <w:bCs/>
                <w:sz w:val="21"/>
                <w:szCs w:val="21"/>
              </w:rPr>
            </w:pPr>
            <w:r>
              <w:rPr>
                <w:rFonts w:hint="eastAsia" w:ascii="仿宋" w:hAnsi="仿宋" w:cs="仿宋"/>
                <w:spacing w:val="1"/>
                <w:sz w:val="21"/>
                <w:szCs w:val="21"/>
              </w:rPr>
              <w:t>采购合格率</w:t>
            </w:r>
          </w:p>
        </w:tc>
        <w:tc>
          <w:tcPr>
            <w:tcW w:w="4635" w:type="dxa"/>
            <w:vAlign w:val="center"/>
          </w:tcPr>
          <w:p>
            <w:pPr>
              <w:snapToGrid w:val="0"/>
              <w:spacing w:line="240" w:lineRule="auto"/>
              <w:ind w:firstLine="0" w:firstLineChars="0"/>
              <w:outlineLvl w:val="1"/>
              <w:rPr>
                <w:rFonts w:hint="eastAsia" w:ascii="仿宋" w:hAnsi="仿宋"/>
                <w:sz w:val="21"/>
                <w:szCs w:val="21"/>
              </w:rPr>
            </w:pPr>
            <w:r>
              <w:rPr>
                <w:rFonts w:hint="eastAsia" w:ascii="仿宋" w:hAnsi="仿宋"/>
                <w:sz w:val="21"/>
                <w:szCs w:val="21"/>
              </w:rPr>
              <w:t>计分规则：</w:t>
            </w:r>
            <w:r>
              <w:rPr>
                <w:rFonts w:ascii="仿宋" w:hAnsi="仿宋"/>
                <w:sz w:val="21"/>
                <w:szCs w:val="21"/>
              </w:rPr>
              <w:t>2</w:t>
            </w:r>
            <w:r>
              <w:rPr>
                <w:rFonts w:hint="eastAsia" w:ascii="仿宋" w:hAnsi="仿宋"/>
                <w:sz w:val="21"/>
                <w:szCs w:val="21"/>
              </w:rPr>
              <w:t>0-((本阶段最高采购合格率-当前团队原料合格率)×100)×</w:t>
            </w:r>
            <w:r>
              <w:rPr>
                <w:rFonts w:ascii="仿宋" w:hAnsi="仿宋"/>
                <w:sz w:val="21"/>
                <w:szCs w:val="21"/>
              </w:rPr>
              <w:t>4</w:t>
            </w:r>
            <w:r>
              <w:rPr>
                <w:rFonts w:hint="eastAsia" w:ascii="仿宋" w:hAnsi="仿宋"/>
                <w:sz w:val="21"/>
                <w:szCs w:val="21"/>
              </w:rPr>
              <w:t>，最高</w:t>
            </w:r>
            <w:r>
              <w:rPr>
                <w:rFonts w:ascii="仿宋" w:hAnsi="仿宋"/>
                <w:sz w:val="21"/>
                <w:szCs w:val="21"/>
              </w:rPr>
              <w:t>2</w:t>
            </w:r>
            <w:r>
              <w:rPr>
                <w:rFonts w:hint="eastAsia" w:ascii="仿宋" w:hAnsi="仿宋"/>
                <w:sz w:val="21"/>
                <w:szCs w:val="21"/>
              </w:rPr>
              <w:t>0分，最低0分。</w:t>
            </w:r>
          </w:p>
        </w:tc>
        <w:tc>
          <w:tcPr>
            <w:tcW w:w="831" w:type="dxa"/>
            <w:vAlign w:val="center"/>
          </w:tcPr>
          <w:p>
            <w:pPr>
              <w:snapToGrid w:val="0"/>
              <w:spacing w:line="540" w:lineRule="exact"/>
              <w:ind w:firstLine="0" w:firstLineChars="0"/>
              <w:jc w:val="center"/>
              <w:outlineLvl w:val="1"/>
              <w:rPr>
                <w:rFonts w:hint="eastAsia" w:ascii="仿宋" w:hAnsi="仿宋"/>
                <w:b/>
                <w:bCs/>
                <w:sz w:val="21"/>
                <w:szCs w:val="21"/>
              </w:rPr>
            </w:pPr>
            <w:r>
              <w:rPr>
                <w:rFonts w:ascii="仿宋" w:hAnsi="仿宋" w:cs="仿宋"/>
                <w:spacing w:val="1"/>
                <w:sz w:val="21"/>
                <w:szCs w:val="21"/>
              </w:rPr>
              <w:t>2</w:t>
            </w:r>
            <w:r>
              <w:rPr>
                <w:rFonts w:hint="eastAsia" w:ascii="仿宋" w:hAnsi="仿宋" w:cs="仿宋"/>
                <w:spacing w:val="1"/>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4" w:type="dxa"/>
            <w:vAlign w:val="center"/>
          </w:tcPr>
          <w:p>
            <w:pPr>
              <w:spacing w:line="540" w:lineRule="exact"/>
              <w:ind w:firstLine="0" w:firstLineChars="0"/>
              <w:jc w:val="center"/>
              <w:outlineLvl w:val="1"/>
              <w:rPr>
                <w:rFonts w:hint="eastAsia" w:ascii="仿宋" w:hAnsi="仿宋"/>
                <w:b/>
                <w:bCs/>
                <w:sz w:val="21"/>
                <w:szCs w:val="21"/>
              </w:rPr>
            </w:pPr>
            <w:r>
              <w:rPr>
                <w:rFonts w:hint="eastAsia" w:ascii="仿宋" w:hAnsi="仿宋" w:cs="仿宋_GB2312"/>
                <w:sz w:val="21"/>
                <w:szCs w:val="21"/>
              </w:rPr>
              <w:t>3</w:t>
            </w:r>
          </w:p>
        </w:tc>
        <w:tc>
          <w:tcPr>
            <w:tcW w:w="709" w:type="dxa"/>
            <w:vMerge w:val="continue"/>
          </w:tcPr>
          <w:p>
            <w:pPr>
              <w:snapToGrid w:val="0"/>
              <w:spacing w:line="240" w:lineRule="auto"/>
              <w:ind w:firstLine="0" w:firstLineChars="0"/>
              <w:jc w:val="left"/>
              <w:outlineLvl w:val="1"/>
              <w:rPr>
                <w:rFonts w:hint="eastAsia" w:ascii="仿宋" w:hAnsi="仿宋" w:cs="仿宋"/>
                <w:spacing w:val="1"/>
                <w:sz w:val="21"/>
                <w:szCs w:val="21"/>
              </w:rPr>
            </w:pPr>
          </w:p>
        </w:tc>
        <w:tc>
          <w:tcPr>
            <w:tcW w:w="1417" w:type="dxa"/>
            <w:vAlign w:val="center"/>
          </w:tcPr>
          <w:p>
            <w:pPr>
              <w:snapToGrid w:val="0"/>
              <w:spacing w:line="240" w:lineRule="auto"/>
              <w:ind w:firstLine="0" w:firstLineChars="0"/>
              <w:jc w:val="left"/>
              <w:outlineLvl w:val="1"/>
              <w:rPr>
                <w:rFonts w:hint="eastAsia" w:ascii="仿宋" w:hAnsi="仿宋"/>
                <w:b/>
                <w:bCs/>
                <w:sz w:val="21"/>
                <w:szCs w:val="21"/>
              </w:rPr>
            </w:pPr>
            <w:r>
              <w:rPr>
                <w:rFonts w:hint="eastAsia" w:ascii="仿宋" w:hAnsi="仿宋" w:cs="仿宋"/>
                <w:spacing w:val="1"/>
                <w:sz w:val="21"/>
                <w:szCs w:val="21"/>
              </w:rPr>
              <w:t>需求满足率</w:t>
            </w:r>
          </w:p>
        </w:tc>
        <w:tc>
          <w:tcPr>
            <w:tcW w:w="4635" w:type="dxa"/>
            <w:vAlign w:val="center"/>
          </w:tcPr>
          <w:p>
            <w:pPr>
              <w:snapToGrid w:val="0"/>
              <w:spacing w:line="240" w:lineRule="auto"/>
              <w:ind w:firstLine="0" w:firstLineChars="0"/>
              <w:outlineLvl w:val="1"/>
              <w:rPr>
                <w:rFonts w:hint="eastAsia" w:ascii="仿宋" w:hAnsi="仿宋"/>
                <w:sz w:val="21"/>
                <w:szCs w:val="21"/>
              </w:rPr>
            </w:pPr>
            <w:r>
              <w:rPr>
                <w:rFonts w:hint="eastAsia" w:ascii="仿宋" w:hAnsi="仿宋"/>
                <w:sz w:val="21"/>
                <w:szCs w:val="21"/>
              </w:rPr>
              <w:t>计分规则：</w:t>
            </w:r>
            <w:r>
              <w:rPr>
                <w:rFonts w:ascii="仿宋" w:hAnsi="仿宋"/>
                <w:sz w:val="21"/>
                <w:szCs w:val="21"/>
              </w:rPr>
              <w:t>4</w:t>
            </w:r>
            <w:r>
              <w:rPr>
                <w:rFonts w:hint="eastAsia" w:ascii="仿宋" w:hAnsi="仿宋"/>
                <w:sz w:val="21"/>
                <w:szCs w:val="21"/>
              </w:rPr>
              <w:t>0-((1-当前团队需求满足率)×100)，最高</w:t>
            </w:r>
            <w:r>
              <w:rPr>
                <w:rFonts w:ascii="仿宋" w:hAnsi="仿宋"/>
                <w:sz w:val="21"/>
                <w:szCs w:val="21"/>
              </w:rPr>
              <w:t>40</w:t>
            </w:r>
            <w:r>
              <w:rPr>
                <w:rFonts w:hint="eastAsia" w:ascii="仿宋" w:hAnsi="仿宋"/>
                <w:sz w:val="21"/>
                <w:szCs w:val="21"/>
              </w:rPr>
              <w:t>分，最低0分。</w:t>
            </w:r>
          </w:p>
        </w:tc>
        <w:tc>
          <w:tcPr>
            <w:tcW w:w="831" w:type="dxa"/>
            <w:vAlign w:val="center"/>
          </w:tcPr>
          <w:p>
            <w:pPr>
              <w:snapToGrid w:val="0"/>
              <w:spacing w:line="540" w:lineRule="exact"/>
              <w:ind w:firstLine="0" w:firstLineChars="0"/>
              <w:jc w:val="center"/>
              <w:outlineLvl w:val="1"/>
              <w:rPr>
                <w:rFonts w:hint="eastAsia" w:ascii="仿宋" w:hAnsi="仿宋"/>
                <w:b/>
                <w:bCs/>
                <w:sz w:val="21"/>
                <w:szCs w:val="21"/>
              </w:rPr>
            </w:pPr>
            <w:r>
              <w:rPr>
                <w:rFonts w:ascii="仿宋" w:hAnsi="仿宋" w:cs="仿宋"/>
                <w:spacing w:val="1"/>
                <w:sz w:val="21"/>
                <w:szCs w:val="21"/>
              </w:rPr>
              <w:t>4</w:t>
            </w:r>
            <w:r>
              <w:rPr>
                <w:rFonts w:hint="eastAsia" w:ascii="仿宋" w:hAnsi="仿宋" w:cs="仿宋"/>
                <w:spacing w:val="1"/>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04" w:type="dxa"/>
            <w:vAlign w:val="center"/>
          </w:tcPr>
          <w:p>
            <w:pPr>
              <w:spacing w:line="540" w:lineRule="exact"/>
              <w:ind w:firstLine="0" w:firstLineChars="0"/>
              <w:jc w:val="center"/>
              <w:outlineLvl w:val="1"/>
              <w:rPr>
                <w:rFonts w:hint="eastAsia" w:ascii="仿宋" w:hAnsi="仿宋"/>
                <w:b/>
                <w:bCs/>
                <w:sz w:val="21"/>
                <w:szCs w:val="21"/>
              </w:rPr>
            </w:pPr>
            <w:r>
              <w:rPr>
                <w:rFonts w:hint="eastAsia" w:ascii="仿宋" w:hAnsi="仿宋" w:cs="仿宋_GB2312"/>
                <w:sz w:val="21"/>
                <w:szCs w:val="21"/>
              </w:rPr>
              <w:t>4</w:t>
            </w:r>
          </w:p>
        </w:tc>
        <w:tc>
          <w:tcPr>
            <w:tcW w:w="709" w:type="dxa"/>
            <w:vMerge w:val="restart"/>
            <w:vAlign w:val="center"/>
          </w:tcPr>
          <w:p>
            <w:pPr>
              <w:snapToGrid w:val="0"/>
              <w:spacing w:line="240" w:lineRule="auto"/>
              <w:ind w:firstLine="0" w:firstLineChars="0"/>
              <w:jc w:val="center"/>
              <w:outlineLvl w:val="1"/>
              <w:rPr>
                <w:rFonts w:hint="eastAsia" w:ascii="仿宋" w:hAnsi="仿宋" w:cs="仿宋"/>
                <w:spacing w:val="1"/>
                <w:sz w:val="21"/>
                <w:szCs w:val="21"/>
              </w:rPr>
            </w:pPr>
            <w:r>
              <w:rPr>
                <w:rFonts w:hint="eastAsia" w:ascii="仿宋" w:hAnsi="仿宋" w:cs="仿宋"/>
                <w:spacing w:val="1"/>
                <w:sz w:val="21"/>
                <w:szCs w:val="21"/>
              </w:rPr>
              <w:t>供应方</w:t>
            </w:r>
          </w:p>
        </w:tc>
        <w:tc>
          <w:tcPr>
            <w:tcW w:w="1417" w:type="dxa"/>
            <w:vAlign w:val="center"/>
          </w:tcPr>
          <w:p>
            <w:pPr>
              <w:snapToGrid w:val="0"/>
              <w:spacing w:line="240" w:lineRule="auto"/>
              <w:ind w:firstLine="0" w:firstLineChars="0"/>
              <w:jc w:val="left"/>
              <w:outlineLvl w:val="1"/>
              <w:rPr>
                <w:rFonts w:hint="eastAsia" w:ascii="仿宋" w:hAnsi="仿宋"/>
                <w:b/>
                <w:bCs/>
                <w:sz w:val="21"/>
                <w:szCs w:val="21"/>
              </w:rPr>
            </w:pPr>
            <w:r>
              <w:rPr>
                <w:rFonts w:hint="eastAsia" w:ascii="仿宋" w:hAnsi="仿宋" w:cs="仿宋"/>
                <w:spacing w:val="1"/>
                <w:sz w:val="21"/>
                <w:szCs w:val="21"/>
              </w:rPr>
              <w:t>总销售利润</w:t>
            </w:r>
          </w:p>
        </w:tc>
        <w:tc>
          <w:tcPr>
            <w:tcW w:w="4635" w:type="dxa"/>
            <w:vAlign w:val="center"/>
          </w:tcPr>
          <w:p>
            <w:pPr>
              <w:snapToGrid w:val="0"/>
              <w:spacing w:line="240" w:lineRule="auto"/>
              <w:ind w:firstLine="0" w:firstLineChars="0"/>
              <w:outlineLvl w:val="1"/>
              <w:rPr>
                <w:rFonts w:hint="eastAsia" w:ascii="仿宋" w:hAnsi="仿宋"/>
                <w:sz w:val="21"/>
                <w:szCs w:val="21"/>
              </w:rPr>
            </w:pPr>
            <w:r>
              <w:rPr>
                <w:rFonts w:hint="eastAsia" w:ascii="仿宋" w:hAnsi="仿宋"/>
                <w:sz w:val="21"/>
                <w:szCs w:val="21"/>
              </w:rPr>
              <w:t>计分规则：4</w:t>
            </w:r>
            <w:r>
              <w:rPr>
                <w:rFonts w:ascii="仿宋" w:hAnsi="仿宋"/>
                <w:sz w:val="21"/>
                <w:szCs w:val="21"/>
              </w:rPr>
              <w:t>0</w:t>
            </w:r>
            <w:r>
              <w:rPr>
                <w:rFonts w:hint="eastAsia" w:ascii="仿宋" w:hAnsi="仿宋"/>
                <w:sz w:val="21"/>
                <w:szCs w:val="21"/>
              </w:rPr>
              <w:t>×</w:t>
            </w:r>
            <w:r>
              <w:rPr>
                <w:rFonts w:ascii="仿宋" w:hAnsi="仿宋"/>
                <w:sz w:val="21"/>
                <w:szCs w:val="21"/>
              </w:rPr>
              <w:t>(</w:t>
            </w:r>
            <w:r>
              <w:rPr>
                <w:rFonts w:hint="eastAsia" w:ascii="仿宋" w:hAnsi="仿宋"/>
                <w:sz w:val="21"/>
                <w:szCs w:val="21"/>
              </w:rPr>
              <w:t>当前团队总销售利润/本阶段最高总销售利润)</w:t>
            </w:r>
          </w:p>
          <w:p>
            <w:pPr>
              <w:snapToGrid w:val="0"/>
              <w:spacing w:line="240" w:lineRule="auto"/>
              <w:ind w:firstLine="0" w:firstLineChars="0"/>
              <w:outlineLvl w:val="1"/>
              <w:rPr>
                <w:rFonts w:hint="eastAsia" w:ascii="仿宋" w:hAnsi="仿宋" w:cs="仿宋"/>
                <w:spacing w:val="1"/>
                <w:sz w:val="21"/>
                <w:szCs w:val="21"/>
              </w:rPr>
            </w:pPr>
            <w:r>
              <w:rPr>
                <w:rFonts w:hint="eastAsia" w:ascii="仿宋" w:hAnsi="仿宋"/>
                <w:sz w:val="21"/>
                <w:szCs w:val="21"/>
              </w:rPr>
              <w:t>注：总销售利润小于等于零时按零分计。</w:t>
            </w:r>
          </w:p>
        </w:tc>
        <w:tc>
          <w:tcPr>
            <w:tcW w:w="831" w:type="dxa"/>
            <w:vAlign w:val="center"/>
          </w:tcPr>
          <w:p>
            <w:pPr>
              <w:snapToGrid w:val="0"/>
              <w:spacing w:line="540" w:lineRule="exact"/>
              <w:ind w:firstLine="0" w:firstLineChars="0"/>
              <w:jc w:val="center"/>
              <w:outlineLvl w:val="1"/>
              <w:rPr>
                <w:rFonts w:hint="eastAsia" w:ascii="仿宋" w:hAnsi="仿宋"/>
                <w:b/>
                <w:bCs/>
                <w:sz w:val="21"/>
                <w:szCs w:val="21"/>
              </w:rPr>
            </w:pPr>
            <w:r>
              <w:rPr>
                <w:rFonts w:ascii="仿宋" w:hAnsi="仿宋" w:cs="仿宋"/>
                <w:spacing w:val="1"/>
                <w:sz w:val="21"/>
                <w:szCs w:val="21"/>
              </w:rPr>
              <w:t>40</w:t>
            </w:r>
            <w:r>
              <w:rPr>
                <w:rFonts w:hint="eastAsia" w:ascii="仿宋" w:hAnsi="仿宋" w:cs="仿宋"/>
                <w:spacing w:val="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04" w:type="dxa"/>
            <w:vAlign w:val="center"/>
          </w:tcPr>
          <w:p>
            <w:pPr>
              <w:spacing w:line="540" w:lineRule="exact"/>
              <w:ind w:firstLine="0" w:firstLineChars="0"/>
              <w:jc w:val="center"/>
              <w:outlineLvl w:val="1"/>
              <w:rPr>
                <w:rFonts w:hint="eastAsia" w:ascii="仿宋" w:hAnsi="仿宋"/>
                <w:b/>
                <w:bCs/>
                <w:sz w:val="21"/>
                <w:szCs w:val="21"/>
              </w:rPr>
            </w:pPr>
            <w:r>
              <w:rPr>
                <w:rFonts w:hint="eastAsia" w:ascii="仿宋" w:hAnsi="仿宋" w:cs="仿宋_GB2312"/>
                <w:sz w:val="21"/>
                <w:szCs w:val="21"/>
              </w:rPr>
              <w:t>5</w:t>
            </w:r>
          </w:p>
        </w:tc>
        <w:tc>
          <w:tcPr>
            <w:tcW w:w="709" w:type="dxa"/>
            <w:vMerge w:val="continue"/>
          </w:tcPr>
          <w:p>
            <w:pPr>
              <w:snapToGrid w:val="0"/>
              <w:spacing w:line="240" w:lineRule="auto"/>
              <w:ind w:firstLine="0" w:firstLineChars="0"/>
              <w:jc w:val="left"/>
              <w:outlineLvl w:val="1"/>
              <w:rPr>
                <w:rFonts w:hint="eastAsia" w:ascii="仿宋" w:hAnsi="仿宋" w:cs="仿宋"/>
                <w:spacing w:val="1"/>
                <w:sz w:val="21"/>
                <w:szCs w:val="21"/>
              </w:rPr>
            </w:pPr>
          </w:p>
        </w:tc>
        <w:tc>
          <w:tcPr>
            <w:tcW w:w="1417" w:type="dxa"/>
            <w:vAlign w:val="center"/>
          </w:tcPr>
          <w:p>
            <w:pPr>
              <w:snapToGrid w:val="0"/>
              <w:spacing w:line="240" w:lineRule="auto"/>
              <w:ind w:firstLine="0" w:firstLineChars="0"/>
              <w:jc w:val="left"/>
              <w:outlineLvl w:val="1"/>
              <w:rPr>
                <w:rFonts w:hint="eastAsia" w:ascii="仿宋" w:hAnsi="仿宋"/>
                <w:b/>
                <w:bCs/>
                <w:sz w:val="21"/>
                <w:szCs w:val="21"/>
              </w:rPr>
            </w:pPr>
            <w:r>
              <w:rPr>
                <w:rFonts w:hint="eastAsia" w:ascii="仿宋" w:hAnsi="仿宋" w:cs="仿宋"/>
                <w:spacing w:val="1"/>
                <w:sz w:val="21"/>
                <w:szCs w:val="21"/>
              </w:rPr>
              <w:t>交付合格率</w:t>
            </w:r>
          </w:p>
        </w:tc>
        <w:tc>
          <w:tcPr>
            <w:tcW w:w="4635" w:type="dxa"/>
            <w:vAlign w:val="center"/>
          </w:tcPr>
          <w:p>
            <w:pPr>
              <w:snapToGrid w:val="0"/>
              <w:spacing w:line="240" w:lineRule="auto"/>
              <w:ind w:firstLine="0" w:firstLineChars="0"/>
              <w:outlineLvl w:val="1"/>
              <w:rPr>
                <w:rFonts w:hint="eastAsia" w:ascii="仿宋" w:hAnsi="仿宋" w:cs="仿宋"/>
                <w:spacing w:val="1"/>
                <w:sz w:val="21"/>
                <w:szCs w:val="21"/>
              </w:rPr>
            </w:pPr>
            <w:r>
              <w:rPr>
                <w:rFonts w:hint="eastAsia" w:ascii="仿宋" w:hAnsi="仿宋"/>
                <w:sz w:val="21"/>
                <w:szCs w:val="21"/>
              </w:rPr>
              <w:t>计分规则：</w:t>
            </w:r>
            <w:r>
              <w:rPr>
                <w:rFonts w:ascii="仿宋" w:hAnsi="仿宋"/>
                <w:sz w:val="21"/>
                <w:szCs w:val="21"/>
              </w:rPr>
              <w:t>3</w:t>
            </w:r>
            <w:r>
              <w:rPr>
                <w:rFonts w:hint="eastAsia" w:ascii="仿宋" w:hAnsi="仿宋"/>
                <w:sz w:val="21"/>
                <w:szCs w:val="21"/>
              </w:rPr>
              <w:t>0-((本阶段最高交付合格率-当前团队交付合格率)×100)×</w:t>
            </w:r>
            <w:r>
              <w:rPr>
                <w:rFonts w:ascii="仿宋" w:hAnsi="仿宋"/>
                <w:sz w:val="21"/>
                <w:szCs w:val="21"/>
              </w:rPr>
              <w:t>6</w:t>
            </w:r>
            <w:r>
              <w:rPr>
                <w:rFonts w:hint="eastAsia" w:ascii="仿宋" w:hAnsi="仿宋"/>
                <w:sz w:val="21"/>
                <w:szCs w:val="21"/>
              </w:rPr>
              <w:t>，最高30分，最低0分。</w:t>
            </w:r>
          </w:p>
        </w:tc>
        <w:tc>
          <w:tcPr>
            <w:tcW w:w="831" w:type="dxa"/>
            <w:vAlign w:val="center"/>
          </w:tcPr>
          <w:p>
            <w:pPr>
              <w:snapToGrid w:val="0"/>
              <w:spacing w:line="540" w:lineRule="exact"/>
              <w:ind w:firstLine="0" w:firstLineChars="0"/>
              <w:jc w:val="center"/>
              <w:outlineLvl w:val="1"/>
              <w:rPr>
                <w:rFonts w:hint="eastAsia" w:ascii="仿宋" w:hAnsi="仿宋"/>
                <w:b/>
                <w:bCs/>
                <w:sz w:val="21"/>
                <w:szCs w:val="21"/>
              </w:rPr>
            </w:pPr>
            <w:r>
              <w:rPr>
                <w:rFonts w:ascii="仿宋" w:hAnsi="仿宋" w:cs="仿宋"/>
                <w:spacing w:val="1"/>
                <w:sz w:val="21"/>
                <w:szCs w:val="21"/>
              </w:rPr>
              <w:t>30</w:t>
            </w:r>
            <w:r>
              <w:rPr>
                <w:rFonts w:hint="eastAsia" w:ascii="仿宋" w:hAnsi="仿宋" w:cs="仿宋"/>
                <w:spacing w:val="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04" w:type="dxa"/>
            <w:vAlign w:val="center"/>
          </w:tcPr>
          <w:p>
            <w:pPr>
              <w:spacing w:line="540" w:lineRule="exact"/>
              <w:ind w:firstLine="0" w:firstLineChars="0"/>
              <w:jc w:val="center"/>
              <w:outlineLvl w:val="1"/>
              <w:rPr>
                <w:rFonts w:hint="eastAsia" w:ascii="仿宋" w:hAnsi="仿宋" w:cs="仿宋_GB2312"/>
                <w:sz w:val="21"/>
                <w:szCs w:val="21"/>
              </w:rPr>
            </w:pPr>
            <w:r>
              <w:rPr>
                <w:rFonts w:hint="eastAsia" w:ascii="仿宋" w:hAnsi="仿宋" w:cs="仿宋_GB2312"/>
                <w:sz w:val="21"/>
                <w:szCs w:val="21"/>
              </w:rPr>
              <w:t>6</w:t>
            </w:r>
          </w:p>
        </w:tc>
        <w:tc>
          <w:tcPr>
            <w:tcW w:w="709" w:type="dxa"/>
            <w:vMerge w:val="continue"/>
          </w:tcPr>
          <w:p>
            <w:pPr>
              <w:snapToGrid w:val="0"/>
              <w:spacing w:line="240" w:lineRule="auto"/>
              <w:ind w:firstLine="0" w:firstLineChars="0"/>
              <w:jc w:val="left"/>
              <w:outlineLvl w:val="1"/>
              <w:rPr>
                <w:rFonts w:hint="eastAsia" w:ascii="仿宋" w:hAnsi="仿宋" w:cs="仿宋"/>
                <w:spacing w:val="1"/>
                <w:sz w:val="21"/>
                <w:szCs w:val="21"/>
              </w:rPr>
            </w:pPr>
          </w:p>
        </w:tc>
        <w:tc>
          <w:tcPr>
            <w:tcW w:w="1417" w:type="dxa"/>
            <w:vAlign w:val="center"/>
          </w:tcPr>
          <w:p>
            <w:pPr>
              <w:snapToGrid w:val="0"/>
              <w:spacing w:line="240" w:lineRule="auto"/>
              <w:ind w:firstLine="0" w:firstLineChars="0"/>
              <w:jc w:val="left"/>
              <w:outlineLvl w:val="1"/>
              <w:rPr>
                <w:rFonts w:hint="eastAsia" w:ascii="仿宋" w:hAnsi="仿宋" w:cs="仿宋"/>
                <w:spacing w:val="1"/>
                <w:sz w:val="21"/>
                <w:szCs w:val="21"/>
              </w:rPr>
            </w:pPr>
            <w:r>
              <w:rPr>
                <w:rFonts w:hint="eastAsia" w:ascii="仿宋" w:hAnsi="仿宋" w:cs="仿宋"/>
                <w:spacing w:val="1"/>
                <w:sz w:val="21"/>
                <w:szCs w:val="21"/>
              </w:rPr>
              <w:t>准时交付率</w:t>
            </w:r>
          </w:p>
        </w:tc>
        <w:tc>
          <w:tcPr>
            <w:tcW w:w="4635" w:type="dxa"/>
            <w:vAlign w:val="center"/>
          </w:tcPr>
          <w:p>
            <w:pPr>
              <w:snapToGrid w:val="0"/>
              <w:spacing w:line="240" w:lineRule="auto"/>
              <w:ind w:firstLine="0" w:firstLineChars="0"/>
              <w:outlineLvl w:val="1"/>
              <w:rPr>
                <w:rFonts w:hint="eastAsia" w:ascii="仿宋" w:hAnsi="仿宋"/>
                <w:sz w:val="21"/>
                <w:szCs w:val="21"/>
              </w:rPr>
            </w:pPr>
            <w:r>
              <w:rPr>
                <w:rFonts w:hint="eastAsia" w:ascii="仿宋" w:hAnsi="仿宋"/>
                <w:sz w:val="21"/>
                <w:szCs w:val="21"/>
              </w:rPr>
              <w:t>计分规则：3</w:t>
            </w:r>
            <w:r>
              <w:rPr>
                <w:rFonts w:ascii="仿宋" w:hAnsi="仿宋"/>
                <w:sz w:val="21"/>
                <w:szCs w:val="21"/>
              </w:rPr>
              <w:t>0</w:t>
            </w:r>
            <w:r>
              <w:rPr>
                <w:rFonts w:hint="eastAsia" w:ascii="仿宋" w:hAnsi="仿宋"/>
                <w:sz w:val="21"/>
                <w:szCs w:val="21"/>
              </w:rPr>
              <w:t>-((1-当前团队准时交付率)×100)，最高</w:t>
            </w:r>
            <w:r>
              <w:rPr>
                <w:rFonts w:ascii="仿宋" w:hAnsi="仿宋"/>
                <w:sz w:val="21"/>
                <w:szCs w:val="21"/>
              </w:rPr>
              <w:t>30</w:t>
            </w:r>
            <w:r>
              <w:rPr>
                <w:rFonts w:hint="eastAsia" w:ascii="仿宋" w:hAnsi="仿宋"/>
                <w:sz w:val="21"/>
                <w:szCs w:val="21"/>
              </w:rPr>
              <w:t>分，最低0分。</w:t>
            </w:r>
          </w:p>
        </w:tc>
        <w:tc>
          <w:tcPr>
            <w:tcW w:w="831" w:type="dxa"/>
            <w:vAlign w:val="center"/>
          </w:tcPr>
          <w:p>
            <w:pPr>
              <w:snapToGrid w:val="0"/>
              <w:spacing w:line="540" w:lineRule="exact"/>
              <w:ind w:firstLine="0" w:firstLineChars="0"/>
              <w:jc w:val="center"/>
              <w:outlineLvl w:val="1"/>
              <w:rPr>
                <w:rFonts w:hint="eastAsia" w:ascii="仿宋" w:hAnsi="仿宋" w:cs="仿宋"/>
                <w:spacing w:val="1"/>
                <w:sz w:val="21"/>
                <w:szCs w:val="21"/>
              </w:rPr>
            </w:pPr>
            <w:r>
              <w:rPr>
                <w:rFonts w:ascii="仿宋" w:hAnsi="仿宋" w:cs="仿宋"/>
                <w:spacing w:val="1"/>
                <w:sz w:val="21"/>
                <w:szCs w:val="21"/>
              </w:rPr>
              <w:t>30</w:t>
            </w:r>
            <w:r>
              <w:rPr>
                <w:rFonts w:hint="eastAsia" w:ascii="仿宋" w:hAnsi="仿宋" w:cs="仿宋"/>
                <w:spacing w:val="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296" w:type="dxa"/>
            <w:gridSpan w:val="5"/>
            <w:vAlign w:val="center"/>
          </w:tcPr>
          <w:p>
            <w:pPr>
              <w:widowControl/>
              <w:snapToGrid w:val="0"/>
              <w:spacing w:line="240" w:lineRule="auto"/>
              <w:ind w:firstLine="0" w:firstLineChars="0"/>
              <w:jc w:val="both"/>
              <w:outlineLvl w:val="9"/>
              <w:rPr>
                <w:rFonts w:hint="eastAsia" w:ascii="仿宋" w:hAnsi="仿宋" w:cs="仿宋"/>
                <w:b/>
                <w:bCs/>
                <w:spacing w:val="1"/>
                <w:sz w:val="21"/>
                <w:szCs w:val="21"/>
              </w:rPr>
            </w:pPr>
            <w:r>
              <w:rPr>
                <w:rFonts w:hint="eastAsia" w:ascii="仿宋" w:hAnsi="仿宋" w:cs="仿宋"/>
                <w:b/>
                <w:bCs/>
                <w:spacing w:val="1"/>
                <w:sz w:val="21"/>
                <w:szCs w:val="21"/>
              </w:rPr>
              <w:t>指标分数计算：</w:t>
            </w:r>
          </w:p>
          <w:p>
            <w:pPr>
              <w:widowControl/>
              <w:snapToGrid w:val="0"/>
              <w:spacing w:line="240" w:lineRule="auto"/>
              <w:ind w:firstLine="0" w:firstLineChars="0"/>
              <w:jc w:val="both"/>
              <w:outlineLvl w:val="9"/>
              <w:rPr>
                <w:rFonts w:hint="eastAsia" w:ascii="仿宋" w:hAnsi="仿宋" w:cs="仿宋"/>
                <w:spacing w:val="1"/>
                <w:sz w:val="21"/>
                <w:szCs w:val="21"/>
              </w:rPr>
            </w:pPr>
            <w:r>
              <w:rPr>
                <w:rFonts w:hint="eastAsia" w:ascii="仿宋" w:hAnsi="仿宋" w:cs="仿宋"/>
                <w:spacing w:val="1"/>
                <w:sz w:val="21"/>
                <w:szCs w:val="21"/>
              </w:rPr>
              <w:t>根据当前团队所扮演的采购方和供应方的指标得分分别汇总后取平均分。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widowControl/>
              <w:snapToGrid w:val="0"/>
              <w:spacing w:line="240" w:lineRule="auto"/>
              <w:ind w:firstLine="0" w:firstLineChars="0"/>
              <w:outlineLvl w:val="9"/>
              <w:rPr>
                <w:rFonts w:hint="eastAsia" w:ascii="仿宋" w:hAnsi="仿宋" w:cs="仿宋"/>
                <w:b/>
                <w:bCs/>
                <w:spacing w:val="1"/>
                <w:sz w:val="21"/>
                <w:szCs w:val="21"/>
              </w:rPr>
            </w:pPr>
            <w:r>
              <w:rPr>
                <w:rFonts w:hint="eastAsia" w:ascii="仿宋" w:hAnsi="仿宋" w:cs="仿宋"/>
                <w:b/>
                <w:bCs/>
                <w:spacing w:val="1"/>
                <w:sz w:val="21"/>
                <w:szCs w:val="21"/>
              </w:rPr>
              <w:t>排名分数计算规则：</w:t>
            </w:r>
          </w:p>
          <w:p>
            <w:pPr>
              <w:widowControl/>
              <w:snapToGrid w:val="0"/>
              <w:spacing w:line="240" w:lineRule="auto"/>
              <w:ind w:firstLine="0" w:firstLineChars="0"/>
              <w:outlineLvl w:val="9"/>
              <w:rPr>
                <w:rFonts w:hint="eastAsia" w:ascii="仿宋" w:hAnsi="仿宋" w:cs="仿宋"/>
                <w:spacing w:val="1"/>
                <w:sz w:val="21"/>
                <w:szCs w:val="21"/>
              </w:rPr>
            </w:pPr>
            <w:r>
              <w:rPr>
                <w:rFonts w:hint="eastAsia" w:ascii="仿宋" w:hAnsi="仿宋" w:cs="仿宋"/>
                <w:spacing w:val="1"/>
                <w:sz w:val="21"/>
                <w:szCs w:val="21"/>
              </w:rPr>
              <w:t>1）按指标分数由高到低进行排名，第一名100分，第二名98分，每名次递减2分，依此类推；</w:t>
            </w:r>
          </w:p>
          <w:p>
            <w:pPr>
              <w:widowControl/>
              <w:snapToGrid w:val="0"/>
              <w:spacing w:line="240" w:lineRule="auto"/>
              <w:ind w:firstLine="0" w:firstLineChars="0"/>
              <w:outlineLvl w:val="9"/>
              <w:rPr>
                <w:rFonts w:hint="eastAsia" w:ascii="仿宋" w:hAnsi="仿宋"/>
                <w:sz w:val="21"/>
                <w:szCs w:val="21"/>
              </w:rPr>
            </w:pPr>
            <w:r>
              <w:rPr>
                <w:rFonts w:hint="eastAsia" w:ascii="仿宋" w:hAnsi="仿宋" w:cs="仿宋"/>
                <w:spacing w:val="1"/>
                <w:sz w:val="21"/>
                <w:szCs w:val="21"/>
              </w:rPr>
              <w:t>2）如指标分数相同按并列计分，例如：指标分数95.36分，87.23分，87.23分，78.76分，则排名分数依次为100分，98分，98分，94分。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296" w:type="dxa"/>
            <w:gridSpan w:val="5"/>
            <w:vAlign w:val="center"/>
          </w:tcPr>
          <w:p>
            <w:pPr>
              <w:widowControl/>
              <w:snapToGrid w:val="0"/>
              <w:spacing w:line="240" w:lineRule="auto"/>
              <w:ind w:firstLine="0" w:firstLineChars="0"/>
              <w:outlineLvl w:val="9"/>
              <w:rPr>
                <w:rFonts w:hint="eastAsia" w:ascii="仿宋" w:hAnsi="仿宋" w:cs="仿宋"/>
                <w:b/>
                <w:bCs/>
                <w:spacing w:val="1"/>
                <w:sz w:val="21"/>
                <w:szCs w:val="21"/>
              </w:rPr>
            </w:pPr>
            <w:r>
              <w:rPr>
                <w:rFonts w:hint="eastAsia" w:ascii="仿宋" w:hAnsi="仿宋" w:cs="仿宋"/>
                <w:b/>
                <w:bCs/>
                <w:spacing w:val="1"/>
                <w:sz w:val="21"/>
                <w:szCs w:val="21"/>
              </w:rPr>
              <w:t>综合分数计算规则：</w:t>
            </w:r>
          </w:p>
          <w:p>
            <w:pPr>
              <w:widowControl/>
              <w:snapToGrid w:val="0"/>
              <w:spacing w:line="240" w:lineRule="auto"/>
              <w:ind w:firstLine="0" w:firstLineChars="0"/>
              <w:outlineLvl w:val="9"/>
              <w:rPr>
                <w:rFonts w:hint="eastAsia" w:ascii="仿宋" w:hAnsi="仿宋" w:cs="仿宋"/>
                <w:spacing w:val="1"/>
                <w:sz w:val="21"/>
                <w:szCs w:val="21"/>
              </w:rPr>
            </w:pPr>
            <w:r>
              <w:rPr>
                <w:rFonts w:hint="eastAsia" w:ascii="仿宋" w:hAnsi="仿宋" w:cs="仿宋"/>
                <w:spacing w:val="1"/>
                <w:sz w:val="21"/>
                <w:szCs w:val="21"/>
              </w:rPr>
              <w:t>综合分数=排名分数×70%+指标分数×30%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296" w:type="dxa"/>
            <w:gridSpan w:val="5"/>
            <w:vAlign w:val="center"/>
          </w:tcPr>
          <w:p>
            <w:pPr>
              <w:widowControl/>
              <w:snapToGrid w:val="0"/>
              <w:spacing w:line="240" w:lineRule="auto"/>
              <w:ind w:firstLine="0" w:firstLineChars="0"/>
              <w:rPr>
                <w:rFonts w:hint="eastAsia" w:ascii="仿宋" w:hAnsi="仿宋" w:cs="仿宋"/>
                <w:spacing w:val="1"/>
                <w:sz w:val="21"/>
                <w:szCs w:val="21"/>
              </w:rPr>
            </w:pPr>
            <w:r>
              <w:rPr>
                <w:rFonts w:hint="eastAsia" w:ascii="仿宋" w:hAnsi="仿宋" w:cs="仿宋"/>
                <w:spacing w:val="1"/>
                <w:sz w:val="21"/>
                <w:szCs w:val="21"/>
              </w:rPr>
              <w:t>备注：</w:t>
            </w:r>
          </w:p>
          <w:p>
            <w:pPr>
              <w:widowControl/>
              <w:snapToGrid w:val="0"/>
              <w:spacing w:line="240" w:lineRule="auto"/>
              <w:ind w:firstLine="0" w:firstLineChars="0"/>
              <w:rPr>
                <w:rFonts w:hint="eastAsia" w:ascii="仿宋" w:hAnsi="仿宋" w:cs="仿宋"/>
                <w:spacing w:val="1"/>
                <w:sz w:val="21"/>
                <w:szCs w:val="21"/>
              </w:rPr>
            </w:pPr>
            <w:r>
              <w:rPr>
                <w:rFonts w:hint="eastAsia" w:ascii="仿宋" w:hAnsi="仿宋" w:cs="仿宋"/>
                <w:spacing w:val="1"/>
                <w:sz w:val="21"/>
                <w:szCs w:val="21"/>
              </w:rPr>
              <w:t>1.各项指标值及分数均根据计算结果四舍五入保留2位小数；</w:t>
            </w:r>
          </w:p>
          <w:p>
            <w:pPr>
              <w:widowControl/>
              <w:snapToGrid w:val="0"/>
              <w:spacing w:line="240" w:lineRule="auto"/>
              <w:ind w:firstLine="0" w:firstLineChars="0"/>
              <w:rPr>
                <w:rFonts w:hint="eastAsia" w:ascii="仿宋" w:hAnsi="仿宋" w:cs="仿宋"/>
                <w:spacing w:val="1"/>
                <w:sz w:val="21"/>
                <w:szCs w:val="21"/>
              </w:rPr>
            </w:pPr>
            <w:r>
              <w:rPr>
                <w:rFonts w:hint="eastAsia" w:ascii="仿宋" w:hAnsi="仿宋" w:cs="仿宋"/>
                <w:spacing w:val="1"/>
                <w:sz w:val="21"/>
                <w:szCs w:val="21"/>
              </w:rPr>
              <w:t>2.未参与的参赛团队指标分数计0分，排名分数计0分；</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_GB2312" w:hAnsi="楷体_GB2312" w:eastAsia="楷体_GB2312" w:cs="楷体_GB2312"/>
          <w:b/>
          <w:bCs/>
          <w:color w:val="auto"/>
          <w:spacing w:val="0"/>
          <w:szCs w:val="30"/>
          <w:highlight w:val="none"/>
        </w:rPr>
      </w:pPr>
      <w:r>
        <w:rPr>
          <w:rFonts w:hint="eastAsia" w:ascii="楷体_GB2312" w:hAnsi="楷体_GB2312" w:eastAsia="楷体_GB2312" w:cs="楷体_GB2312"/>
          <w:b/>
          <w:bCs/>
          <w:color w:val="auto"/>
          <w:spacing w:val="0"/>
          <w:szCs w:val="30"/>
          <w:highlight w:val="none"/>
        </w:rPr>
        <w:t>（三）竞赛分组规则</w:t>
      </w:r>
    </w:p>
    <w:p>
      <w:pPr>
        <w:spacing w:line="560" w:lineRule="exact"/>
        <w:rPr>
          <w:rFonts w:hint="eastAsia" w:ascii="仿宋" w:hAnsi="仿宋"/>
          <w:szCs w:val="30"/>
        </w:rPr>
      </w:pPr>
      <w:r>
        <w:rPr>
          <w:rFonts w:hint="eastAsia" w:ascii="仿宋" w:hAnsi="仿宋" w:cs="仿宋"/>
          <w:b/>
          <w:bCs/>
          <w:kern w:val="0"/>
          <w:szCs w:val="30"/>
          <w:lang w:bidi="ar"/>
        </w:rPr>
        <w:t>1.</w:t>
      </w:r>
      <w:r>
        <w:rPr>
          <w:rFonts w:hint="eastAsia" w:ascii="仿宋" w:hAnsi="仿宋"/>
          <w:szCs w:val="30"/>
        </w:rPr>
        <w:t>根据各赛道最终参赛团队总数确定分组数，大赛主办方统一发布，各参赛队根据分组进行比赛。</w:t>
      </w:r>
    </w:p>
    <w:p>
      <w:pPr>
        <w:spacing w:line="560" w:lineRule="exact"/>
        <w:rPr>
          <w:rFonts w:hint="eastAsia" w:ascii="仿宋" w:hAnsi="仿宋"/>
          <w:szCs w:val="30"/>
        </w:rPr>
      </w:pPr>
      <w:r>
        <w:rPr>
          <w:rFonts w:hint="eastAsia" w:ascii="仿宋" w:hAnsi="仿宋" w:cs="仿宋"/>
          <w:b/>
          <w:bCs/>
          <w:kern w:val="0"/>
          <w:szCs w:val="30"/>
          <w:lang w:bidi="ar"/>
        </w:rPr>
        <w:t>2.</w:t>
      </w:r>
      <w:r>
        <w:rPr>
          <w:rFonts w:hint="eastAsia" w:ascii="仿宋" w:hAnsi="仿宋"/>
          <w:szCs w:val="30"/>
        </w:rPr>
        <w:t>竞赛分组根据报名顺序（即：根据在线提交报名表的时间进行排序）和第三方平台确定的随机数作为分组依据</w:t>
      </w:r>
      <w:r>
        <w:rPr>
          <w:rFonts w:hint="eastAsia" w:ascii="仿宋" w:hAnsi="仿宋"/>
          <w:szCs w:val="30"/>
          <w:lang w:eastAsia="zh-CN"/>
        </w:rPr>
        <w:t>，</w:t>
      </w:r>
      <w:r>
        <w:rPr>
          <w:rFonts w:hint="eastAsia" w:ascii="仿宋" w:hAnsi="仿宋"/>
          <w:szCs w:val="30"/>
        </w:rPr>
        <w:t>每组最多2</w:t>
      </w:r>
      <w:r>
        <w:rPr>
          <w:rFonts w:ascii="仿宋" w:hAnsi="仿宋"/>
          <w:szCs w:val="30"/>
        </w:rPr>
        <w:t>0</w:t>
      </w:r>
      <w:r>
        <w:rPr>
          <w:rFonts w:hint="eastAsia" w:ascii="仿宋" w:hAnsi="仿宋"/>
          <w:szCs w:val="30"/>
        </w:rPr>
        <w:t>支参赛队，如参赛队总数未达到2</w:t>
      </w:r>
      <w:r>
        <w:rPr>
          <w:rFonts w:ascii="仿宋" w:hAnsi="仿宋"/>
          <w:szCs w:val="30"/>
        </w:rPr>
        <w:t>0</w:t>
      </w:r>
      <w:r>
        <w:rPr>
          <w:rFonts w:hint="eastAsia" w:ascii="仿宋" w:hAnsi="仿宋"/>
          <w:szCs w:val="30"/>
        </w:rPr>
        <w:t>的倍数，则根据情况安排部分竞赛组为19支参赛队。例如：本科组有</w:t>
      </w:r>
      <w:r>
        <w:rPr>
          <w:rFonts w:ascii="仿宋" w:hAnsi="仿宋"/>
          <w:szCs w:val="30"/>
        </w:rPr>
        <w:t>198</w:t>
      </w:r>
      <w:r>
        <w:rPr>
          <w:rFonts w:hint="eastAsia" w:ascii="仿宋" w:hAnsi="仿宋"/>
          <w:szCs w:val="30"/>
        </w:rPr>
        <w:t>支参赛队伍，则分</w:t>
      </w:r>
      <w:r>
        <w:rPr>
          <w:rFonts w:ascii="仿宋" w:hAnsi="仿宋"/>
          <w:szCs w:val="30"/>
        </w:rPr>
        <w:t>10</w:t>
      </w:r>
      <w:r>
        <w:rPr>
          <w:rFonts w:hint="eastAsia" w:ascii="仿宋" w:hAnsi="仿宋"/>
          <w:szCs w:val="30"/>
        </w:rPr>
        <w:t>组进行比赛，前</w:t>
      </w:r>
      <w:r>
        <w:rPr>
          <w:rFonts w:ascii="仿宋" w:hAnsi="仿宋"/>
          <w:szCs w:val="30"/>
        </w:rPr>
        <w:t>8</w:t>
      </w:r>
      <w:r>
        <w:rPr>
          <w:rFonts w:hint="eastAsia" w:ascii="仿宋" w:hAnsi="仿宋"/>
          <w:szCs w:val="30"/>
        </w:rPr>
        <w:t>组为2</w:t>
      </w:r>
      <w:r>
        <w:rPr>
          <w:rFonts w:ascii="仿宋" w:hAnsi="仿宋"/>
          <w:szCs w:val="30"/>
        </w:rPr>
        <w:t>0</w:t>
      </w:r>
      <w:r>
        <w:rPr>
          <w:rFonts w:hint="eastAsia" w:ascii="仿宋" w:hAnsi="仿宋"/>
          <w:szCs w:val="30"/>
        </w:rPr>
        <w:t>支参赛队，后</w:t>
      </w:r>
      <w:r>
        <w:rPr>
          <w:rFonts w:ascii="仿宋" w:hAnsi="仿宋"/>
          <w:szCs w:val="30"/>
        </w:rPr>
        <w:t>2</w:t>
      </w:r>
      <w:r>
        <w:rPr>
          <w:rFonts w:hint="eastAsia" w:ascii="仿宋" w:hAnsi="仿宋"/>
          <w:szCs w:val="30"/>
        </w:rPr>
        <w:t>组为19支参赛队。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_GB2312" w:hAnsi="楷体_GB2312" w:eastAsia="楷体_GB2312" w:cs="楷体_GB2312"/>
          <w:b/>
          <w:bCs/>
          <w:color w:val="auto"/>
          <w:spacing w:val="0"/>
          <w:szCs w:val="30"/>
          <w:highlight w:val="none"/>
        </w:rPr>
      </w:pPr>
      <w:r>
        <w:rPr>
          <w:rFonts w:hint="eastAsia" w:ascii="楷体_GB2312" w:hAnsi="楷体_GB2312" w:eastAsia="楷体_GB2312" w:cs="楷体_GB2312"/>
          <w:b/>
          <w:bCs/>
          <w:color w:val="auto"/>
          <w:spacing w:val="0"/>
          <w:szCs w:val="30"/>
          <w:highlight w:val="none"/>
        </w:rPr>
        <w:t>（四）赛前练习</w:t>
      </w:r>
      <w:bookmarkStart w:id="1" w:name="_GoBack"/>
      <w:bookmarkEnd w:id="1"/>
    </w:p>
    <w:p>
      <w:pPr>
        <w:spacing w:line="540" w:lineRule="exact"/>
        <w:ind w:firstLine="600"/>
      </w:pPr>
      <w:r>
        <w:rPr>
          <w:rFonts w:hint="eastAsia" w:ascii="仿宋" w:hAnsi="仿宋"/>
          <w:szCs w:val="30"/>
        </w:rPr>
        <w:t>竞赛官网提供练习功能，组委会将在竞赛官网不定期发布练习赛供参赛选手进行赛前练习</w:t>
      </w:r>
      <w:r>
        <w:rPr>
          <w:rFonts w:hint="eastAsia" w:ascii="仿宋" w:hAnsi="仿宋"/>
          <w:szCs w:val="30"/>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D2C41D-CCA3-4F3C-9112-F54FF28441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D35DD49-E735-4989-9148-E8DAC3CF1B8D}"/>
  </w:font>
  <w:font w:name="仿宋">
    <w:panose1 w:val="02010609060101010101"/>
    <w:charset w:val="86"/>
    <w:family w:val="modern"/>
    <w:pitch w:val="default"/>
    <w:sig w:usb0="800002BF" w:usb1="38CF7CFA" w:usb2="00000016" w:usb3="00000000" w:csb0="00040001" w:csb1="00000000"/>
    <w:embedRegular r:id="rId3" w:fontKey="{D1E3B86B-FB4D-4A0A-AD39-CDFF02F29059}"/>
  </w:font>
  <w:font w:name="方正小标宋_GBK">
    <w:panose1 w:val="02000000000000000000"/>
    <w:charset w:val="86"/>
    <w:family w:val="script"/>
    <w:pitch w:val="default"/>
    <w:sig w:usb0="A00002BF" w:usb1="38CF7CFA" w:usb2="00082016" w:usb3="00000000" w:csb0="00040001" w:csb1="00000000"/>
    <w:embedRegular r:id="rId4" w:fontKey="{3AFC1E60-FDF1-4923-BF70-333F1AD76869}"/>
  </w:font>
  <w:font w:name="楷体_GB2312">
    <w:panose1 w:val="02010609030101010101"/>
    <w:charset w:val="86"/>
    <w:family w:val="auto"/>
    <w:pitch w:val="default"/>
    <w:sig w:usb0="00000001" w:usb1="080E0000" w:usb2="00000000" w:usb3="00000000" w:csb0="00040000" w:csb1="00000000"/>
    <w:embedRegular r:id="rId5" w:fontKey="{EBEBAF56-9863-43CC-A5F3-C52569FACC71}"/>
  </w:font>
  <w:font w:name="仿宋_GB2312">
    <w:panose1 w:val="02010609030101010101"/>
    <w:charset w:val="86"/>
    <w:family w:val="modern"/>
    <w:pitch w:val="default"/>
    <w:sig w:usb0="00000001" w:usb1="080E0000" w:usb2="00000000" w:usb3="00000000" w:csb0="00040000" w:csb1="00000000"/>
    <w:embedRegular r:id="rId6" w:fontKey="{6FFA4EFE-D6EB-48CC-8730-E78609BFABA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MzJlMjQzYTgwMDRhYTlmNWYzNGNhN2MxMmI3MmIifQ=="/>
  </w:docVars>
  <w:rsids>
    <w:rsidRoot w:val="6DAE1586"/>
    <w:rsid w:val="6DAE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602" w:firstLineChars="200"/>
      <w:jc w:val="both"/>
    </w:pPr>
    <w:rPr>
      <w:rFonts w:ascii="Times New Roman" w:hAnsi="Times New Roman" w:eastAsia="仿宋" w:cstheme="minorBidi"/>
      <w:kern w:val="2"/>
      <w:sz w:val="30"/>
      <w:lang w:val="en-US" w:eastAsia="zh-CN" w:bidi="ar-SA"/>
    </w:rPr>
  </w:style>
  <w:style w:type="paragraph" w:styleId="2">
    <w:name w:val="heading 1"/>
    <w:basedOn w:val="1"/>
    <w:next w:val="1"/>
    <w:qFormat/>
    <w:uiPriority w:val="0"/>
    <w:pPr>
      <w:snapToGrid w:val="0"/>
      <w:spacing w:line="360" w:lineRule="atLeast"/>
      <w:outlineLvl w:val="0"/>
    </w:pPr>
    <w:rPr>
      <w:rFonts w:ascii="宋体" w:hAnsi="宋体" w:eastAsia="黑体"/>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2025-08-21T07:06:00Z</dcterms:created>
  <dc:creator>山子者是也</dc:creator>
  <cp:lastModifiedBy>山子者是也</cp:lastModifiedBy>
  <dcterms:modified xsi:type="dcterms:W3CDTF">2025-08-21T07:08:26Z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F1A5CB5468EF451CB4E812FF91B67792_11</vt:lpwstr>
  </property>
</Properties>
</file>